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28"/>
        <w:rPr>
          <w:rFonts w:ascii="宋体" w:hAnsi="宋体" w:eastAsia="宋体" w:cs="宋体"/>
          <w:b/>
          <w:bCs/>
          <w:spacing w:val="5"/>
          <w:position w:val="18"/>
          <w:sz w:val="41"/>
          <w:szCs w:val="41"/>
          <w:lang w:eastAsia="zh-CN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1"/>
          <w:szCs w:val="31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-11"/>
          <w:sz w:val="31"/>
          <w:szCs w:val="31"/>
          <w:lang w:eastAsia="zh-CN"/>
        </w:rPr>
        <w:t>：</w:t>
      </w:r>
    </w:p>
    <w:p>
      <w:pPr>
        <w:spacing w:before="32"/>
        <w:jc w:val="center"/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eastAsia="zh-CN"/>
        </w:rPr>
        <w:t>华东理工大学</w:t>
      </w:r>
      <w:r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val="en-US" w:eastAsia="zh-CN"/>
        </w:rPr>
        <w:t>创新型</w:t>
      </w:r>
      <w:r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eastAsia="zh-CN"/>
        </w:rPr>
        <w:t>智库团队</w:t>
      </w:r>
      <w:r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val="en-US" w:eastAsia="zh-CN"/>
        </w:rPr>
        <w:t>组建方向</w:t>
      </w:r>
    </w:p>
    <w:p>
      <w:pPr>
        <w:spacing w:before="32"/>
        <w:jc w:val="center"/>
        <w:rPr>
          <w:rFonts w:ascii="仿宋" w:hAnsi="仿宋" w:eastAsia="仿宋" w:cs="仿宋"/>
          <w:spacing w:val="5"/>
          <w:position w:val="18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18"/>
          <w:sz w:val="41"/>
          <w:szCs w:val="41"/>
          <w:lang w:val="en-US" w:eastAsia="zh-CN"/>
        </w:rPr>
        <w:t>建议范围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低碳和清洁能源、绿色低碳体系、氢能关键核心技术等相关领域战略决策研究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化学品安全、绿色化工、电子化学品、化工新材料相关领域战略决策研究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3.环境保护、生态修复、化学污染物环境标准与风险管理相关领域战略决策研究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先进智能制造、智能特种设备、新型工业化相关领域战略决策研究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生物科技、医药先进生物制造、现代生物医药产业等相关领域战略决策研究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科技园区、高校技术转化、促进科技创新策源等相关领域战略决策研究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spacing w:val="5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人工智能、数字技术赋能新兴产业、智能优化调控等相关领域战略决策研究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>全媒体传播、舆论引导及影响力塑造等相关领域战略决策研究</w:t>
      </w:r>
    </w:p>
    <w:p>
      <w:pPr>
        <w:jc w:val="both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备注：团队组建方向可包括但不限于以上范围。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jEzYWQyYjVkZDliYjBlODkxNWM1MTdlNWQ5YmEifQ=="/>
  </w:docVars>
  <w:rsids>
    <w:rsidRoot w:val="1E464950"/>
    <w:rsid w:val="1E464950"/>
    <w:rsid w:val="47C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2024-04-03T08:17:00Z</dcterms:created>
  <dc:creator>王超</dc:creator>
  <cp:lastModifiedBy>王超</cp:lastModifiedBy>
  <dcterms:modified xsi:type="dcterms:W3CDTF">2024-04-03T08:19:00Z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473A874C3AE8485FBC84FBA01010304A_11</vt:lpwstr>
  </property>
</Properties>
</file>